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AE" w:rsidRDefault="004361AE" w:rsidP="008057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Corporate Governance Seminar</w:t>
      </w:r>
    </w:p>
    <w:p w:rsidR="004361AE" w:rsidRDefault="004361AE" w:rsidP="008057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14 May 2018</w:t>
      </w:r>
    </w:p>
    <w:p w:rsidR="00805779" w:rsidRPr="004A7341" w:rsidRDefault="004361AE" w:rsidP="008057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val="is-IS" w:eastAsia="en-GB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Agenda - </w:t>
      </w:r>
      <w:proofErr w:type="spellStart"/>
      <w:r w:rsidR="00805779" w:rsidRPr="004A7341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Dags</w:t>
      </w:r>
      <w:bookmarkStart w:id="0" w:name="_GoBack"/>
      <w:bookmarkEnd w:id="0"/>
      <w:r w:rsidR="00805779" w:rsidRPr="004A7341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kr</w:t>
      </w:r>
      <w:proofErr w:type="spellEnd"/>
      <w:r w:rsidR="00805779" w:rsidRPr="004A7341">
        <w:rPr>
          <w:rFonts w:ascii="Arial" w:eastAsia="Times New Roman" w:hAnsi="Arial" w:cs="Arial"/>
          <w:b/>
          <w:color w:val="222222"/>
          <w:sz w:val="18"/>
          <w:szCs w:val="18"/>
          <w:lang w:val="is-IS" w:eastAsia="en-GB"/>
        </w:rPr>
        <w:t>á</w:t>
      </w:r>
    </w:p>
    <w:p w:rsidR="00805779" w:rsidRPr="004A7341" w:rsidRDefault="00805779" w:rsidP="00805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is-IS" w:eastAsia="en-GB"/>
        </w:rPr>
      </w:pPr>
    </w:p>
    <w:tbl>
      <w:tblPr>
        <w:tblStyle w:val="TableGrid"/>
        <w:tblW w:w="10627" w:type="dxa"/>
        <w:tblLook w:val="04A0"/>
      </w:tblPr>
      <w:tblGrid>
        <w:gridCol w:w="1555"/>
        <w:gridCol w:w="4536"/>
        <w:gridCol w:w="4536"/>
      </w:tblGrid>
      <w:tr w:rsidR="00D93765" w:rsidRPr="004A7341" w:rsidTr="00AE2B47">
        <w:tc>
          <w:tcPr>
            <w:tcW w:w="1555" w:type="dxa"/>
            <w:shd w:val="clear" w:color="auto" w:fill="44546A" w:themeFill="text2"/>
          </w:tcPr>
          <w:p w:rsidR="00D93765" w:rsidRPr="004A7341" w:rsidRDefault="005947E7" w:rsidP="00805779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is-IS"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is-IS" w:eastAsia="en-GB"/>
              </w:rPr>
              <w:t xml:space="preserve">Time - </w:t>
            </w:r>
            <w:r w:rsidR="00D93765" w:rsidRPr="004A734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is-IS" w:eastAsia="en-GB"/>
              </w:rPr>
              <w:t>Tími</w:t>
            </w:r>
          </w:p>
        </w:tc>
        <w:tc>
          <w:tcPr>
            <w:tcW w:w="4536" w:type="dxa"/>
            <w:shd w:val="clear" w:color="auto" w:fill="44546A" w:themeFill="text2"/>
          </w:tcPr>
          <w:p w:rsidR="00D93765" w:rsidRPr="004A7341" w:rsidRDefault="001C1E79" w:rsidP="00805779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is-IS" w:eastAsia="en-GB"/>
              </w:rPr>
            </w:pPr>
            <w:r w:rsidRPr="004A734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is-IS" w:eastAsia="en-GB"/>
              </w:rPr>
              <w:t>Description in English</w:t>
            </w:r>
          </w:p>
        </w:tc>
        <w:tc>
          <w:tcPr>
            <w:tcW w:w="4536" w:type="dxa"/>
            <w:shd w:val="clear" w:color="auto" w:fill="44546A" w:themeFill="text2"/>
          </w:tcPr>
          <w:p w:rsidR="00D93765" w:rsidRPr="004A7341" w:rsidRDefault="001C1E79" w:rsidP="00805779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is-IS" w:eastAsia="en-GB"/>
              </w:rPr>
            </w:pPr>
            <w:r w:rsidRPr="004A734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is-IS" w:eastAsia="en-GB"/>
              </w:rPr>
              <w:t>Description in Icelandic</w:t>
            </w:r>
          </w:p>
        </w:tc>
      </w:tr>
      <w:tr w:rsidR="00D93765" w:rsidRPr="004A7341" w:rsidTr="00D93765">
        <w:tc>
          <w:tcPr>
            <w:tcW w:w="1555" w:type="dxa"/>
          </w:tcPr>
          <w:p w:rsidR="00D93765" w:rsidRPr="004A7341" w:rsidRDefault="00D93765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 w:rsidRPr="004A7341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08.</w:t>
            </w:r>
            <w:r w:rsidR="00360AB5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0</w:t>
            </w:r>
            <w:r w:rsidRPr="004A7341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0 – 08.3</w:t>
            </w:r>
            <w:r w:rsidR="00360AB5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</w:tcPr>
          <w:p w:rsidR="001C1E79" w:rsidRPr="00BD3420" w:rsidRDefault="001C1E79" w:rsidP="001C1E79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  <w:r w:rsidRPr="00BD3420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Open doors and light breakfast</w:t>
            </w:r>
          </w:p>
          <w:p w:rsidR="00D93765" w:rsidRPr="004A7341" w:rsidRDefault="00D93765" w:rsidP="00D9376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is-IS" w:eastAsia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93765" w:rsidRPr="00BD3420" w:rsidRDefault="004A7341" w:rsidP="00D93765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is-IS" w:eastAsia="en-GB"/>
              </w:rPr>
            </w:pPr>
            <w:r w:rsidRPr="00BD342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is-IS" w:eastAsia="en-GB"/>
              </w:rPr>
              <w:t>Mæting og morgun</w:t>
            </w:r>
            <w:r w:rsidR="00FA2B5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is-IS" w:eastAsia="en-GB"/>
              </w:rPr>
              <w:t>verður</w:t>
            </w:r>
          </w:p>
        </w:tc>
      </w:tr>
      <w:tr w:rsidR="00D93765" w:rsidRPr="004A7341" w:rsidTr="00D93765">
        <w:tc>
          <w:tcPr>
            <w:tcW w:w="1555" w:type="dxa"/>
          </w:tcPr>
          <w:p w:rsidR="00D93765" w:rsidRPr="004A7341" w:rsidRDefault="00D93765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 w:rsidRPr="004A7341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08.3</w:t>
            </w:r>
            <w:r w:rsidR="00360AB5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0</w:t>
            </w:r>
            <w:r w:rsidRPr="004A7341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 xml:space="preserve"> – </w:t>
            </w:r>
            <w:r w:rsidR="00360AB5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8.35</w:t>
            </w:r>
          </w:p>
        </w:tc>
        <w:tc>
          <w:tcPr>
            <w:tcW w:w="4536" w:type="dxa"/>
            <w:shd w:val="clear" w:color="auto" w:fill="FFFFFF" w:themeFill="background1"/>
          </w:tcPr>
          <w:p w:rsidR="00BD3420" w:rsidRPr="00292050" w:rsidRDefault="004A7341" w:rsidP="00D93765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  <w:r w:rsidRPr="00BD3420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Opening of the seminar</w:t>
            </w:r>
          </w:p>
          <w:p w:rsidR="004A7341" w:rsidRPr="00F1238D" w:rsidRDefault="00F1238D" w:rsidP="00D93765">
            <w:pP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</w:pPr>
            <w:r w:rsidRPr="00F1238D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Danielle Pamela Neben</w:t>
            </w:r>
            <w:r w:rsidR="00EC73F3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, Partner Maresías</w:t>
            </w:r>
          </w:p>
          <w:p w:rsidR="00F1238D" w:rsidRPr="00F1238D" w:rsidRDefault="00F1238D" w:rsidP="00D93765">
            <w:pP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</w:pPr>
            <w:r w:rsidRPr="00F1238D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Helga Hlín Hákonardóttir</w:t>
            </w:r>
            <w:r w:rsidR="00EC73F3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, Partner Strategía</w:t>
            </w:r>
          </w:p>
          <w:p w:rsidR="00F1238D" w:rsidRPr="004A7341" w:rsidRDefault="00F1238D" w:rsidP="00D9376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93765" w:rsidRPr="00BD3420" w:rsidRDefault="004A7341" w:rsidP="00D93765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  <w:r w:rsidRPr="00BD3420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Opnun ráðstefnunnar</w:t>
            </w:r>
          </w:p>
          <w:p w:rsidR="00F1238D" w:rsidRPr="00F1238D" w:rsidRDefault="00F1238D" w:rsidP="00F1238D">
            <w:pP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</w:pPr>
            <w:r w:rsidRPr="00F1238D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Danielle Pamela Neben</w:t>
            </w:r>
            <w:r w:rsidR="00A7442C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, Eigandi Maresías</w:t>
            </w:r>
          </w:p>
          <w:p w:rsidR="00F1238D" w:rsidRPr="00F1238D" w:rsidRDefault="00F1238D" w:rsidP="00F1238D">
            <w:pP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</w:pPr>
            <w:r w:rsidRPr="00F1238D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Helga Hlín Hákonardóttir</w:t>
            </w:r>
            <w:r w:rsidR="00A7442C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, Eigandi Strategíu</w:t>
            </w:r>
          </w:p>
          <w:p w:rsidR="004A7341" w:rsidRPr="004A7341" w:rsidRDefault="004A7341" w:rsidP="00D9376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is-IS" w:eastAsia="en-GB"/>
              </w:rPr>
            </w:pPr>
          </w:p>
        </w:tc>
      </w:tr>
      <w:tr w:rsidR="00D93765" w:rsidRPr="0001264F" w:rsidTr="00D93765">
        <w:tc>
          <w:tcPr>
            <w:tcW w:w="1555" w:type="dxa"/>
          </w:tcPr>
          <w:p w:rsidR="00D93765" w:rsidRPr="004A7341" w:rsidRDefault="004A7341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08.35 – 09.05</w:t>
            </w:r>
          </w:p>
        </w:tc>
        <w:tc>
          <w:tcPr>
            <w:tcW w:w="4536" w:type="dxa"/>
            <w:shd w:val="clear" w:color="auto" w:fill="FFFFFF" w:themeFill="background1"/>
          </w:tcPr>
          <w:p w:rsidR="00D93765" w:rsidRPr="00BD3420" w:rsidRDefault="004A7341" w:rsidP="00805779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  <w:r w:rsidRPr="00BD3420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Addressing the meeting</w:t>
            </w:r>
          </w:p>
          <w:p w:rsidR="004A7341" w:rsidRPr="000F1508" w:rsidRDefault="000F1508" w:rsidP="00292050">
            <w:pP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is-IS" w:eastAsia="en-GB"/>
              </w:rPr>
            </w:pPr>
            <w:r w:rsidRPr="000F1508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is-IS" w:eastAsia="en-GB"/>
              </w:rPr>
              <w:t>Þórdís Kolbrún Reykfjörð</w:t>
            </w:r>
            <w:r w:rsidR="00FE5EF5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is-IS" w:eastAsia="en-GB"/>
              </w:rPr>
              <w:t>, Minister of Tourism, Industry and Innovation</w:t>
            </w:r>
          </w:p>
          <w:p w:rsidR="00BD3420" w:rsidRPr="00292050" w:rsidRDefault="004A7341" w:rsidP="00292050">
            <w:pP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is-IS" w:eastAsia="en-GB"/>
              </w:rPr>
            </w:pPr>
            <w:r w:rsidRPr="00292050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is-IS" w:eastAsia="en-GB"/>
              </w:rPr>
              <w:t>Þórey S. Þórðardóttir</w:t>
            </w:r>
            <w:r w:rsidR="000F1508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is-IS" w:eastAsia="en-GB"/>
              </w:rPr>
              <w:t xml:space="preserve">, </w:t>
            </w:r>
            <w:r w:rsidR="00EC73F3" w:rsidRPr="00EC73F3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is-IS" w:eastAsia="en-GB"/>
              </w:rPr>
              <w:t>Director General, The Icelandic Pension Funds Association</w:t>
            </w:r>
          </w:p>
          <w:p w:rsidR="004A7341" w:rsidRPr="00085550" w:rsidRDefault="004A7341" w:rsidP="0029205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292050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is-IS" w:eastAsia="en-GB"/>
              </w:rPr>
              <w:t>Jón Þór Sturluson</w:t>
            </w:r>
            <w:r w:rsidR="00085550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is-IS" w:eastAsia="en-GB"/>
              </w:rPr>
              <w:t xml:space="preserve">, </w:t>
            </w:r>
            <w:r w:rsidR="00085550" w:rsidRPr="00085550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is-IS" w:eastAsia="en-GB"/>
              </w:rPr>
              <w:t xml:space="preserve">Deputy Director General of the </w:t>
            </w:r>
            <w:r w:rsidR="00085550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is-IS" w:eastAsia="en-GB"/>
              </w:rPr>
              <w:t>FSA of Iceland</w:t>
            </w:r>
          </w:p>
        </w:tc>
        <w:tc>
          <w:tcPr>
            <w:tcW w:w="4536" w:type="dxa"/>
            <w:shd w:val="clear" w:color="auto" w:fill="FFFFFF" w:themeFill="background1"/>
          </w:tcPr>
          <w:p w:rsidR="004A7341" w:rsidRPr="00BD3420" w:rsidRDefault="004A7341" w:rsidP="004A7341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  <w:r w:rsidRPr="00BD3420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Ávarp fundins</w:t>
            </w:r>
          </w:p>
          <w:p w:rsidR="004A7341" w:rsidRPr="00FE5EF5" w:rsidRDefault="000F1508" w:rsidP="00292050">
            <w:pP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</w:pPr>
            <w:r w:rsidRPr="000F1508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Þórdís Kolbrún Reykfjörð</w:t>
            </w:r>
            <w:r w:rsidR="00FE5EF5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, F</w:t>
            </w:r>
            <w:r w:rsidR="00FE5EF5" w:rsidRPr="00FE5EF5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erðamála-, iðnaðar- og nýsköpunarráðherra</w:t>
            </w:r>
          </w:p>
          <w:p w:rsidR="004A7341" w:rsidRPr="00292050" w:rsidRDefault="004A7341" w:rsidP="00292050">
            <w:pP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</w:pPr>
            <w:r w:rsidRPr="00292050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Þórey S. Þórðardóttir</w:t>
            </w:r>
            <w:r w:rsidR="00085550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 xml:space="preserve">, </w:t>
            </w:r>
            <w:r w:rsidR="00FE5EF5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F</w:t>
            </w:r>
            <w:r w:rsidR="00085550" w:rsidRPr="00085550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ramkvæmdastjóri Landssamtaka lífeyrissjóða</w:t>
            </w:r>
          </w:p>
          <w:p w:rsidR="004A7341" w:rsidRPr="00085550" w:rsidRDefault="004A7341" w:rsidP="00292050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 w:rsidRPr="00292050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Jón Þór Sturluson</w:t>
            </w:r>
            <w:r w:rsidR="00085550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 xml:space="preserve">, </w:t>
            </w:r>
            <w:r w:rsidR="00085550" w:rsidRPr="00085550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aðstoðarforstjóri Fjármálaeftirlitsins</w:t>
            </w:r>
          </w:p>
        </w:tc>
      </w:tr>
      <w:tr w:rsidR="004A7341" w:rsidRPr="004A7341" w:rsidTr="00D93765">
        <w:tc>
          <w:tcPr>
            <w:tcW w:w="1555" w:type="dxa"/>
          </w:tcPr>
          <w:p w:rsidR="004A7341" w:rsidRDefault="00455D82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09:05 – 10:30</w:t>
            </w:r>
          </w:p>
        </w:tc>
        <w:tc>
          <w:tcPr>
            <w:tcW w:w="4536" w:type="dxa"/>
            <w:shd w:val="clear" w:color="auto" w:fill="FFFFFF" w:themeFill="background1"/>
          </w:tcPr>
          <w:p w:rsidR="00501217" w:rsidRDefault="00501217" w:rsidP="001D6F0E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</w:pPr>
            <w:r w:rsidRPr="00501217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How Canada avoided the financial crisis:</w:t>
            </w:r>
            <w:r w:rsidRPr="00BC7BDA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Its framework to manage risks regarding their distinct businesses under one roof – banking, securities and wealth management </w:t>
            </w:r>
          </w:p>
          <w:p w:rsidR="001D6F0E" w:rsidRPr="001D6F0E" w:rsidRDefault="00501217" w:rsidP="001D6F0E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Comparative analysis of </w:t>
            </w:r>
            <w:r w:rsidR="001D6F0E" w:rsidRPr="001D6F0E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Icelandic </w:t>
            </w: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and </w:t>
            </w:r>
            <w:r w:rsidR="001D6F0E" w:rsidRPr="001D6F0E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Canadian </w:t>
            </w:r>
            <w:r w:rsidR="001D6F0E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governance </w:t>
            </w:r>
            <w:r w:rsidR="001D6F0E" w:rsidRPr="001D6F0E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framework:</w:t>
            </w:r>
            <w:r w:rsidR="001D6F0E" w:rsidRPr="001D6F0E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r w:rsidR="001D6F0E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P</w:t>
            </w:r>
            <w:r w:rsidR="001D6F0E" w:rsidRPr="001D6F0E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rescriptive vs. principles-based; sector specific </w:t>
            </w:r>
            <w:r w:rsidR="00727EA1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with</w:t>
            </w:r>
            <w:r w:rsidR="001D6F0E" w:rsidRPr="001D6F0E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separate regulation of banking, insurance sector, investment industry, pension funds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;</w:t>
            </w:r>
            <w:r w:rsidR="001D6F0E" w:rsidRPr="001D6F0E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issuers vs. non-issuers</w:t>
            </w:r>
          </w:p>
          <w:p w:rsidR="001D6F0E" w:rsidRPr="001D6F0E" w:rsidRDefault="00501217" w:rsidP="001D6F0E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S</w:t>
            </w:r>
            <w:r w:rsidR="001D6F0E" w:rsidRPr="001D6F0E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hap</w:t>
            </w: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ing of </w:t>
            </w:r>
            <w:r w:rsidR="001D6F0E" w:rsidRPr="001D6F0E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the regulatory environment</w:t>
            </w: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: </w:t>
            </w:r>
            <w:r w:rsidRPr="001D6F0E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 </w:t>
            </w:r>
            <w:r w:rsidRPr="00BC7BDA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by the Government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, </w:t>
            </w:r>
            <w:r w:rsidRPr="00BC7BDA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its regulators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and the businesses, </w:t>
            </w:r>
            <w:r w:rsidR="001D6F0E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and capital markets </w:t>
            </w:r>
          </w:p>
          <w:p w:rsidR="001D6F0E" w:rsidRDefault="001D6F0E" w:rsidP="001D6F0E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1D6F0E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Board of Directors (from the regulatory and investor lens):</w:t>
            </w:r>
            <w:r w:rsidRPr="001D6F0E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Duties, liability and independence </w:t>
            </w:r>
            <w:r w:rsidR="00F0196C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and</w:t>
            </w:r>
            <w:r w:rsidRPr="001D6F0E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harness</w:t>
            </w:r>
            <w:r w:rsidR="00F0196C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ing</w:t>
            </w:r>
            <w:r w:rsidRPr="001D6F0E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the right corporate culture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; B</w:t>
            </w:r>
            <w:r w:rsidRPr="001D6F0E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oard size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, competency</w:t>
            </w:r>
            <w:r w:rsidRPr="001D6F0E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and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effectiveness; Respecting the three lines of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defense</w:t>
            </w:r>
            <w:proofErr w:type="spellEnd"/>
            <w:r w:rsidR="0050121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; using the tools</w:t>
            </w:r>
            <w:r w:rsidR="007B614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at your disposal</w:t>
            </w:r>
            <w:r w:rsidR="0050121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</w:p>
          <w:p w:rsidR="001D6F0E" w:rsidRDefault="001D6F0E" w:rsidP="001D6F0E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1D6F0E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Corporate </w:t>
            </w:r>
            <w:r w:rsidR="00F0196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G</w:t>
            </w:r>
            <w:r w:rsidRPr="001D6F0E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overnance reporting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: </w:t>
            </w:r>
            <w:r w:rsidR="0050121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understanding the significance of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I</w:t>
            </w:r>
            <w:r w:rsidRPr="001D6F0E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nvestor protection and annual filing of an accurate Corporate Governance Statement</w:t>
            </w:r>
          </w:p>
          <w:p w:rsidR="00501217" w:rsidRDefault="00501217" w:rsidP="001D6F0E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:rsidR="00BD3420" w:rsidRDefault="00BD3420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 w:rsidRPr="00292050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Hari Panda</w:t>
            </w:r>
            <w:r w:rsidR="00EC73F3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y, CEO PanVest, Chairman Pro-Demnity and Vice Chairman Tarion Corporation</w:t>
            </w:r>
          </w:p>
          <w:p w:rsidR="00455D82" w:rsidRPr="004A7341" w:rsidRDefault="00455D82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A7341" w:rsidRPr="004A7341" w:rsidRDefault="004A7341" w:rsidP="004A7341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</w:p>
        </w:tc>
      </w:tr>
      <w:tr w:rsidR="007C3817" w:rsidRPr="004A7341" w:rsidTr="00D93765">
        <w:tc>
          <w:tcPr>
            <w:tcW w:w="1555" w:type="dxa"/>
          </w:tcPr>
          <w:p w:rsidR="007C3817" w:rsidRDefault="007C3817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10.30 – 10.45</w:t>
            </w:r>
          </w:p>
        </w:tc>
        <w:tc>
          <w:tcPr>
            <w:tcW w:w="4536" w:type="dxa"/>
            <w:shd w:val="clear" w:color="auto" w:fill="FFFFFF" w:themeFill="background1"/>
          </w:tcPr>
          <w:p w:rsidR="007C3817" w:rsidRPr="006C38D6" w:rsidRDefault="007C3817" w:rsidP="00805779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  <w:r w:rsidRPr="006C38D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Coffee break</w:t>
            </w:r>
          </w:p>
          <w:p w:rsidR="007C3817" w:rsidRPr="006C38D6" w:rsidRDefault="007C3817" w:rsidP="00805779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C3817" w:rsidRPr="006C38D6" w:rsidRDefault="007C3817" w:rsidP="004A7341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  <w:r w:rsidRPr="006C38D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Kaffihlé</w:t>
            </w:r>
          </w:p>
        </w:tc>
      </w:tr>
      <w:tr w:rsidR="007C3817" w:rsidRPr="004A7341" w:rsidTr="00D93765">
        <w:tc>
          <w:tcPr>
            <w:tcW w:w="1555" w:type="dxa"/>
          </w:tcPr>
          <w:p w:rsidR="007C3817" w:rsidRDefault="007C3817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10.45 – 12.30</w:t>
            </w:r>
          </w:p>
        </w:tc>
        <w:tc>
          <w:tcPr>
            <w:tcW w:w="4536" w:type="dxa"/>
            <w:shd w:val="clear" w:color="auto" w:fill="FFFFFF" w:themeFill="background1"/>
          </w:tcPr>
          <w:p w:rsidR="007C3817" w:rsidRDefault="004B7165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 w:rsidRPr="004B716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Pension Sector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: role of pension funds and regulators for long</w:t>
            </w:r>
            <w:r w:rsidR="00AE00FB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 xml:space="preserve">term value and sustained economic growth; </w:t>
            </w:r>
            <w:r w:rsidR="0001264F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 xml:space="preserve">expectations of key stakeholders </w:t>
            </w:r>
            <w:r w:rsidR="00501217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 xml:space="preserve">about </w:t>
            </w:r>
            <w:r w:rsidR="0001264F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 xml:space="preserve">transparency and disclosure;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importance of good governance of pension funds in home country and engagement in capital markets; bringing governance policies to life</w:t>
            </w:r>
          </w:p>
          <w:p w:rsidR="00596A6E" w:rsidRPr="00B56ED1" w:rsidRDefault="00596A6E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 w:rsidRPr="00B56ED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 xml:space="preserve">Why </w:t>
            </w:r>
            <w:r w:rsidR="00B56ED1" w:rsidRPr="00B56ED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the Canadian pension model is recognised as world class?</w:t>
            </w:r>
            <w:r w:rsidRPr="00B56ED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 xml:space="preserve"> </w:t>
            </w:r>
            <w:r w:rsidR="00B56ED1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Collaboration between diverse stakeholders, robust independent governance, transparency and accountability</w:t>
            </w:r>
          </w:p>
          <w:p w:rsidR="0001264F" w:rsidRDefault="0001264F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 w:rsidRPr="0001264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Example: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 xml:space="preserve"> Ontario Teachers Pension Plan</w:t>
            </w:r>
          </w:p>
          <w:p w:rsidR="00501217" w:rsidRDefault="00501217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</w:p>
          <w:p w:rsidR="004B7165" w:rsidRPr="004B7165" w:rsidRDefault="004B7165" w:rsidP="00805779">
            <w:pP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</w:pPr>
            <w:r w:rsidRPr="004B7165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Randy Bauslaugh</w:t>
            </w:r>
            <w:r w:rsidR="0087197C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, Partner</w:t>
            </w:r>
            <w:r w:rsidR="00501217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,</w:t>
            </w:r>
            <w:r w:rsidR="0087197C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 xml:space="preserve"> </w:t>
            </w:r>
            <w:r w:rsidR="0087197C" w:rsidRPr="0087197C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McCarthy Tétrault</w:t>
            </w:r>
          </w:p>
          <w:p w:rsidR="007C3817" w:rsidRDefault="007C3817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C3817" w:rsidRPr="004A7341" w:rsidRDefault="007C3817" w:rsidP="004A7341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</w:p>
        </w:tc>
      </w:tr>
      <w:tr w:rsidR="007C3817" w:rsidRPr="004A7341" w:rsidTr="00D93765">
        <w:tc>
          <w:tcPr>
            <w:tcW w:w="1555" w:type="dxa"/>
          </w:tcPr>
          <w:p w:rsidR="007C3817" w:rsidRDefault="007C3817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12.30 – 13.30</w:t>
            </w:r>
          </w:p>
        </w:tc>
        <w:tc>
          <w:tcPr>
            <w:tcW w:w="4536" w:type="dxa"/>
            <w:shd w:val="clear" w:color="auto" w:fill="FFFFFF" w:themeFill="background1"/>
          </w:tcPr>
          <w:p w:rsidR="007C3817" w:rsidRPr="00A074FA" w:rsidRDefault="007C3817" w:rsidP="00805779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  <w:r w:rsidRPr="00A074FA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Lunch</w:t>
            </w:r>
          </w:p>
          <w:p w:rsidR="007C3817" w:rsidRPr="00A074FA" w:rsidRDefault="007C3817" w:rsidP="00805779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C3817" w:rsidRPr="00A074FA" w:rsidRDefault="007C3817" w:rsidP="004A7341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  <w:r w:rsidRPr="00A074FA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Hádegis</w:t>
            </w:r>
            <w:r w:rsidR="00F1238D" w:rsidRPr="00A074FA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verður</w:t>
            </w:r>
          </w:p>
        </w:tc>
      </w:tr>
      <w:tr w:rsidR="007C3817" w:rsidRPr="004A7341" w:rsidTr="00D93765">
        <w:tc>
          <w:tcPr>
            <w:tcW w:w="1555" w:type="dxa"/>
          </w:tcPr>
          <w:p w:rsidR="007C3817" w:rsidRDefault="007C3817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13.30 – 14.00</w:t>
            </w:r>
          </w:p>
          <w:p w:rsidR="007C3817" w:rsidRDefault="007C3817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C3817" w:rsidRPr="001042E1" w:rsidRDefault="004B7165" w:rsidP="00805779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  <w:r w:rsidRPr="001042E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How Corporate Governance has evolved at Gildi</w:t>
            </w:r>
            <w:r w:rsidR="006C38D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 xml:space="preserve"> </w:t>
            </w:r>
          </w:p>
          <w:p w:rsidR="001042E1" w:rsidRDefault="001042E1" w:rsidP="0087197C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 w:rsidRPr="001042E1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Harpa Ólafsdóttir</w:t>
            </w:r>
            <w:r w:rsidR="00185C30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, Chairman of the Board</w:t>
            </w:r>
            <w:r w:rsidR="0087197C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 xml:space="preserve"> at</w:t>
            </w:r>
            <w:r w:rsidR="00185C30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 xml:space="preserve"> Gildi</w:t>
            </w:r>
          </w:p>
        </w:tc>
        <w:tc>
          <w:tcPr>
            <w:tcW w:w="4536" w:type="dxa"/>
            <w:shd w:val="clear" w:color="auto" w:fill="FFFFFF" w:themeFill="background1"/>
          </w:tcPr>
          <w:p w:rsidR="007C3817" w:rsidRPr="0087197C" w:rsidRDefault="0087197C" w:rsidP="004A7341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  <w:r w:rsidRPr="0087197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Hvernig stjórnarhættir hafa þróast hjá Gilda</w:t>
            </w:r>
          </w:p>
          <w:p w:rsidR="00185C30" w:rsidRDefault="00185C30" w:rsidP="0087197C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 w:rsidRPr="001042E1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Harpa Ólafsdóttir</w:t>
            </w:r>
            <w: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 xml:space="preserve">, Formaður Gilda </w:t>
            </w:r>
          </w:p>
        </w:tc>
      </w:tr>
      <w:tr w:rsidR="007C3817" w:rsidRPr="004A7341" w:rsidTr="00D93765">
        <w:tc>
          <w:tcPr>
            <w:tcW w:w="1555" w:type="dxa"/>
          </w:tcPr>
          <w:p w:rsidR="007C3817" w:rsidRDefault="007C3817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14.00 – 1</w:t>
            </w:r>
            <w:r w:rsidR="00216BC8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5.00</w:t>
            </w:r>
          </w:p>
        </w:tc>
        <w:tc>
          <w:tcPr>
            <w:tcW w:w="4536" w:type="dxa"/>
            <w:shd w:val="clear" w:color="auto" w:fill="FFFFFF" w:themeFill="background1"/>
          </w:tcPr>
          <w:p w:rsidR="007C3817" w:rsidRDefault="0001264F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Investment Policies</w:t>
            </w:r>
            <w:r w:rsidR="00453F97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 xml:space="preserve">: </w:t>
            </w:r>
            <w:r w:rsidR="00F533FE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Managing environmental, Social and Governance (ESG) and responsible investing; collaborative nature of investing locally and internationally.</w:t>
            </w:r>
          </w:p>
          <w:p w:rsidR="0001264F" w:rsidRDefault="0001264F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 w:rsidRPr="0001264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Boards of the Investeees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: governance policy to trustee and plan administor‘s fiduciary duty; and pension plan management issues.</w:t>
            </w:r>
          </w:p>
          <w:p w:rsidR="00F533FE" w:rsidRPr="004B7165" w:rsidRDefault="00F533FE" w:rsidP="00F533FE">
            <w:pP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</w:pPr>
            <w:r w:rsidRPr="004B7165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Randy Bauslaugh</w:t>
            </w:r>
            <w:r w:rsidR="00085550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 xml:space="preserve">, Partner </w:t>
            </w:r>
            <w:r w:rsidR="0087197C" w:rsidRPr="0087197C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McCarthy Tétrault</w:t>
            </w:r>
          </w:p>
          <w:p w:rsidR="007C3817" w:rsidRDefault="007C3817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C3817" w:rsidRDefault="007C3817" w:rsidP="004A7341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</w:p>
        </w:tc>
      </w:tr>
      <w:tr w:rsidR="007C3817" w:rsidRPr="004A7341" w:rsidTr="00D93765">
        <w:tc>
          <w:tcPr>
            <w:tcW w:w="1555" w:type="dxa"/>
          </w:tcPr>
          <w:p w:rsidR="007C3817" w:rsidRDefault="007C3817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1</w:t>
            </w:r>
            <w:r w:rsidR="00216BC8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5.00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 xml:space="preserve"> – 15.</w:t>
            </w:r>
            <w:r w:rsidR="00216BC8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</w:tcPr>
          <w:p w:rsidR="007C3817" w:rsidRPr="00A074FA" w:rsidRDefault="007C3817" w:rsidP="00805779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  <w:r w:rsidRPr="00A074FA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Coffee break</w:t>
            </w:r>
          </w:p>
        </w:tc>
        <w:tc>
          <w:tcPr>
            <w:tcW w:w="4536" w:type="dxa"/>
            <w:shd w:val="clear" w:color="auto" w:fill="FFFFFF" w:themeFill="background1"/>
          </w:tcPr>
          <w:p w:rsidR="007C3817" w:rsidRPr="00A074FA" w:rsidRDefault="007C3817" w:rsidP="004A7341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  <w:r w:rsidRPr="00A074FA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Kaffihlé</w:t>
            </w:r>
          </w:p>
          <w:p w:rsidR="007C3817" w:rsidRPr="00A074FA" w:rsidRDefault="007C3817" w:rsidP="004A7341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</w:p>
        </w:tc>
      </w:tr>
      <w:tr w:rsidR="007C3817" w:rsidRPr="004A7341" w:rsidTr="00D93765">
        <w:tc>
          <w:tcPr>
            <w:tcW w:w="1555" w:type="dxa"/>
          </w:tcPr>
          <w:p w:rsidR="007C3817" w:rsidRDefault="007C3817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lastRenderedPageBreak/>
              <w:t>15.</w:t>
            </w:r>
            <w:r w:rsidR="00216BC8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0 – 15.50</w:t>
            </w:r>
          </w:p>
        </w:tc>
        <w:tc>
          <w:tcPr>
            <w:tcW w:w="4536" w:type="dxa"/>
            <w:shd w:val="clear" w:color="auto" w:fill="FFFFFF" w:themeFill="background1"/>
          </w:tcPr>
          <w:p w:rsidR="00C51947" w:rsidRPr="00C51947" w:rsidRDefault="00C51947" w:rsidP="00C51947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C51947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Topics on top of </w:t>
            </w:r>
            <w:r w:rsidR="00501217" w:rsidRPr="00C51947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Canad</w:t>
            </w:r>
            <w:r w:rsidR="00501217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i</w:t>
            </w:r>
            <w:r w:rsidR="00501217" w:rsidRPr="00C51947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a</w:t>
            </w:r>
            <w:r w:rsidR="00501217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n</w:t>
            </w:r>
            <w:r w:rsidR="00501217" w:rsidRPr="00C51947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 </w:t>
            </w:r>
            <w:r w:rsidRPr="00C51947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directors’ minds in 2018</w:t>
            </w:r>
            <w:r w:rsidRPr="00C5194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: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C</w:t>
            </w:r>
            <w:r w:rsidRPr="00C5194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ybersecurity</w:t>
            </w:r>
            <w:r w:rsidR="0050121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, </w:t>
            </w:r>
            <w:r w:rsidR="007206DF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privacy and data breaches, </w:t>
            </w:r>
            <w:r w:rsidR="0050121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speed of </w:t>
            </w:r>
            <w:r w:rsidRPr="00C5194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regulatory </w:t>
            </w:r>
            <w:r w:rsidR="0050121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changes, </w:t>
            </w:r>
            <w:r w:rsidRPr="00C5194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diversity, trust</w:t>
            </w:r>
            <w:r w:rsidR="007206DF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(reputation risk)</w:t>
            </w:r>
            <w:r w:rsidRPr="00C5194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, transparency and sexual harassment allegations, effects of international laws even when you don’t have a footprint in a country</w:t>
            </w:r>
          </w:p>
          <w:p w:rsidR="007C3817" w:rsidRDefault="00860740" w:rsidP="00C51947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Demand on boards by </w:t>
            </w:r>
            <w:r w:rsidRPr="00C51947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shareholders and stakeholders</w:t>
            </w: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 to</w:t>
            </w:r>
            <w:r w:rsidR="00C51947" w:rsidRPr="00C51947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 generate long-term value</w:t>
            </w:r>
            <w:r w:rsidR="00C51947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: </w:t>
            </w:r>
            <w:r w:rsidR="00C51947" w:rsidRPr="00C5194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Leveraging existing investors and employees, international reputation as a catalyst for Iceland</w:t>
            </w:r>
          </w:p>
          <w:p w:rsidR="00EC73F3" w:rsidRPr="00292050" w:rsidRDefault="00EC73F3" w:rsidP="00EC73F3">
            <w:pP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eastAsia="en-GB"/>
              </w:rPr>
            </w:pPr>
            <w:r w:rsidRPr="00292050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Hari Panda</w:t>
            </w:r>
            <w: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y, CEO PanVest, Chairman Pro-Demnity and Vice Chairman Tarion Corporation</w:t>
            </w:r>
          </w:p>
          <w:p w:rsidR="007C3817" w:rsidRPr="00EC73F3" w:rsidRDefault="007C3817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C3817" w:rsidRDefault="007C3817" w:rsidP="004A7341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</w:p>
        </w:tc>
      </w:tr>
      <w:tr w:rsidR="007C3817" w:rsidRPr="0001264F" w:rsidTr="00D93765">
        <w:tc>
          <w:tcPr>
            <w:tcW w:w="1555" w:type="dxa"/>
          </w:tcPr>
          <w:p w:rsidR="007C3817" w:rsidRDefault="007C3817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15.50 – 16.00</w:t>
            </w:r>
          </w:p>
        </w:tc>
        <w:tc>
          <w:tcPr>
            <w:tcW w:w="4536" w:type="dxa"/>
            <w:shd w:val="clear" w:color="auto" w:fill="FFFFFF" w:themeFill="background1"/>
          </w:tcPr>
          <w:p w:rsidR="007C3817" w:rsidRDefault="00E47E67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Summary</w:t>
            </w:r>
          </w:p>
          <w:p w:rsidR="00E47E67" w:rsidRPr="00F1238D" w:rsidRDefault="00E47E67" w:rsidP="00E47E67">
            <w:pP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</w:pPr>
            <w:r w:rsidRPr="00F1238D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Danielle Pamela Neben</w:t>
            </w:r>
          </w:p>
          <w:p w:rsidR="00E47E67" w:rsidRPr="00F1238D" w:rsidRDefault="00E47E67" w:rsidP="00E47E67">
            <w:pP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</w:pPr>
            <w:r w:rsidRPr="00F1238D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Helga Hlín Hákonardóttir</w:t>
            </w:r>
          </w:p>
          <w:p w:rsidR="007C3817" w:rsidRDefault="007C3817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C3817" w:rsidRDefault="007C3817" w:rsidP="004A7341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 w:rsidRPr="007C3817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Samantekt</w:t>
            </w:r>
          </w:p>
          <w:p w:rsidR="00E47E67" w:rsidRPr="00F1238D" w:rsidRDefault="00E47E67" w:rsidP="00E47E67">
            <w:pP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</w:pPr>
            <w:r w:rsidRPr="00F1238D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Danielle Pamela Neben</w:t>
            </w:r>
          </w:p>
          <w:p w:rsidR="00E47E67" w:rsidRPr="00F1238D" w:rsidRDefault="00E47E67" w:rsidP="00E47E67">
            <w:pP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</w:pPr>
            <w:r w:rsidRPr="00F1238D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val="is-IS" w:eastAsia="en-GB"/>
              </w:rPr>
              <w:t>Helga Hlín Hákonardóttir</w:t>
            </w:r>
          </w:p>
          <w:p w:rsidR="00E47E67" w:rsidRDefault="00E47E67" w:rsidP="004A7341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</w:p>
        </w:tc>
      </w:tr>
      <w:tr w:rsidR="007C3817" w:rsidRPr="0001264F" w:rsidTr="00D93765">
        <w:tc>
          <w:tcPr>
            <w:tcW w:w="1555" w:type="dxa"/>
          </w:tcPr>
          <w:p w:rsidR="007C3817" w:rsidRDefault="007C3817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 xml:space="preserve">16.00 - </w:t>
            </w:r>
          </w:p>
        </w:tc>
        <w:tc>
          <w:tcPr>
            <w:tcW w:w="4536" w:type="dxa"/>
            <w:shd w:val="clear" w:color="auto" w:fill="FFFFFF" w:themeFill="background1"/>
          </w:tcPr>
          <w:p w:rsidR="00A074FA" w:rsidRPr="00A074FA" w:rsidRDefault="007C3817" w:rsidP="00805779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  <w:r w:rsidRPr="00A074FA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 xml:space="preserve">Cocktail </w:t>
            </w:r>
          </w:p>
          <w:p w:rsidR="007C3817" w:rsidRDefault="00A074FA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H</w:t>
            </w:r>
            <w:r w:rsidR="007C3817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 xml:space="preserve">osted by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 xml:space="preserve">Anne-Tamara Lorre, </w:t>
            </w:r>
            <w:r w:rsidR="007C3817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 xml:space="preserve"> </w:t>
            </w:r>
            <w:r w:rsidR="00C51947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Ambassador of Canada to Iceland</w:t>
            </w:r>
          </w:p>
        </w:tc>
        <w:tc>
          <w:tcPr>
            <w:tcW w:w="4536" w:type="dxa"/>
            <w:shd w:val="clear" w:color="auto" w:fill="FFFFFF" w:themeFill="background1"/>
          </w:tcPr>
          <w:p w:rsidR="007C3817" w:rsidRDefault="007C3817" w:rsidP="004A7341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  <w:r w:rsidRPr="00A074FA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Kokteill</w:t>
            </w:r>
          </w:p>
          <w:p w:rsidR="00C51947" w:rsidRPr="00C51947" w:rsidRDefault="00C51947" w:rsidP="004A7341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Anne-Tamara Lorre, Sendi</w:t>
            </w:r>
            <w:r w:rsidR="0031075E">
              <w:rPr>
                <w:rFonts w:ascii="Arial" w:eastAsia="Times New Roman" w:hAnsi="Arial" w:cs="Arial"/>
                <w:color w:val="222222"/>
                <w:sz w:val="18"/>
                <w:szCs w:val="18"/>
                <w:lang w:val="is-IS" w:eastAsia="en-GB"/>
              </w:rPr>
              <w:t>herra Kanada</w:t>
            </w:r>
          </w:p>
        </w:tc>
      </w:tr>
    </w:tbl>
    <w:p w:rsidR="00D93765" w:rsidRPr="004A7341" w:rsidRDefault="00D93765" w:rsidP="00805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is-IS" w:eastAsia="en-GB"/>
        </w:rPr>
      </w:pPr>
    </w:p>
    <w:p w:rsidR="00805779" w:rsidRPr="004A7341" w:rsidRDefault="00805779" w:rsidP="00805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is-IS" w:eastAsia="en-GB"/>
        </w:rPr>
      </w:pPr>
    </w:p>
    <w:p w:rsidR="00805779" w:rsidRPr="0001264F" w:rsidRDefault="00805779" w:rsidP="00805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de-DE" w:eastAsia="en-GB"/>
        </w:rPr>
      </w:pPr>
    </w:p>
    <w:p w:rsidR="00805779" w:rsidRPr="0031075E" w:rsidRDefault="00805779" w:rsidP="008057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31075E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About the</w:t>
      </w:r>
      <w:r w:rsidR="0031075E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 presenters </w:t>
      </w:r>
    </w:p>
    <w:p w:rsidR="0031075E" w:rsidRDefault="0031075E" w:rsidP="00805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1555"/>
        <w:gridCol w:w="4536"/>
        <w:gridCol w:w="4365"/>
      </w:tblGrid>
      <w:tr w:rsidR="00A2794E" w:rsidTr="00185C30">
        <w:tc>
          <w:tcPr>
            <w:tcW w:w="1555" w:type="dxa"/>
          </w:tcPr>
          <w:p w:rsidR="00A2794E" w:rsidRPr="001872ED" w:rsidRDefault="00A2794E" w:rsidP="00805779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</w:pPr>
            <w:r w:rsidRPr="001872ED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Hari Panday</w:t>
            </w:r>
          </w:p>
        </w:tc>
        <w:tc>
          <w:tcPr>
            <w:tcW w:w="4536" w:type="dxa"/>
          </w:tcPr>
          <w:p w:rsidR="00A2794E" w:rsidRPr="001872ED" w:rsidRDefault="001872ED" w:rsidP="00805779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</w:pPr>
            <w:r w:rsidRPr="001872ED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President and CEO </w:t>
            </w:r>
            <w:r w:rsidR="00860740" w:rsidRPr="001872ED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PanVest</w:t>
            </w:r>
            <w:r w:rsidRPr="001872ED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 Capital Corporation</w:t>
            </w:r>
            <w:r w:rsidR="00860740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, Toronto</w:t>
            </w:r>
          </w:p>
          <w:p w:rsidR="001872ED" w:rsidRDefault="001872ED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1872ED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Hari Panday is a seasoned </w:t>
            </w:r>
            <w:r w:rsidR="00860740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financial services </w:t>
            </w:r>
            <w:r w:rsidRPr="001872ED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executive and a</w:t>
            </w:r>
            <w:r w:rsidR="00860740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senior </w:t>
            </w:r>
            <w:r w:rsidRPr="001872ED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independent corporate director with experience in </w:t>
            </w:r>
            <w:r w:rsidR="00860740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diverse industries, </w:t>
            </w:r>
            <w:r w:rsidRPr="001872ED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banking, investment industry, private and capital markets and non-profit sectors in Canada and the USA. His career spreads over 35 years in senior roles with ICICI Bank Canada and ICICI Wealth Management Inc. (as the founding President &amp; CEO and a member of the boards), ICICI Securities (USA), HSBC Bank Canada, Bank of Montreal and PriceWaterhouse Coopers. He is currently the Chairman of the Board of Pro-Demnity Insurance Company and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Vice Chairman </w:t>
            </w:r>
            <w:r w:rsidRPr="001872ED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of Tarion Warranty Corporation. Most recently, he was on the boards of ICICI Bank Canada, ICICI Securities (USA), Avalon Rare Metals Inc. and the Canadian National Stock Exchange (CNSX</w:t>
            </w:r>
            <w:r w:rsidR="00C85311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– now CSE</w:t>
            </w:r>
            <w:r w:rsidRPr="001872ED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). He is an examiner for the ICD.D designation. Further, Mr. Panday teaches corporate governance in York University’s Masters, Corporate Governance &amp; Financial Accountability (MFAc) program</w:t>
            </w:r>
            <w:r w:rsidR="00860740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. </w:t>
            </w:r>
          </w:p>
        </w:tc>
        <w:tc>
          <w:tcPr>
            <w:tcW w:w="4365" w:type="dxa"/>
          </w:tcPr>
          <w:p w:rsidR="003F7032" w:rsidRPr="003F7032" w:rsidRDefault="003F7032" w:rsidP="003F7032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Hari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Panday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er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sérfræðingur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í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stjórnarháttum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með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áratuga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reynslu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á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fjármála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-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og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tryggingamörkuðum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í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Kanada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og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í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Bandaríkjunum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Hari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Panday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er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jafnframt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kennari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við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York University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og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er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formaður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stjórnar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Pro-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Demnity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Insurance Company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og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formaður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endurskoðunarnefndar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og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formaður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fjárfestingarnefndar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Tarion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Warranty Corporation. </w:t>
            </w:r>
          </w:p>
          <w:p w:rsidR="003F7032" w:rsidRPr="003F7032" w:rsidRDefault="003F7032" w:rsidP="003F7032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:rsidR="00A2794E" w:rsidRDefault="00A2794E" w:rsidP="003F7032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</w:tc>
      </w:tr>
      <w:tr w:rsidR="00A2794E" w:rsidTr="00185C30">
        <w:tc>
          <w:tcPr>
            <w:tcW w:w="1555" w:type="dxa"/>
          </w:tcPr>
          <w:p w:rsidR="00A2794E" w:rsidRPr="001872ED" w:rsidRDefault="00A2794E" w:rsidP="00805779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</w:pPr>
            <w:r w:rsidRPr="001872ED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is-IS" w:eastAsia="en-GB"/>
              </w:rPr>
              <w:t>Harpa Ólafsdóttir</w:t>
            </w:r>
          </w:p>
        </w:tc>
        <w:tc>
          <w:tcPr>
            <w:tcW w:w="4536" w:type="dxa"/>
          </w:tcPr>
          <w:p w:rsidR="00A2794E" w:rsidRDefault="00C56EA3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Chairman of the Board,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Gildis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(third largest pension plan in Iceland; Economist,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Efling</w:t>
            </w:r>
            <w:proofErr w:type="spellEnd"/>
          </w:p>
        </w:tc>
        <w:tc>
          <w:tcPr>
            <w:tcW w:w="4365" w:type="dxa"/>
          </w:tcPr>
          <w:p w:rsidR="00A2794E" w:rsidRDefault="00A2794E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</w:tc>
      </w:tr>
      <w:tr w:rsidR="00A2794E" w:rsidTr="00185C30">
        <w:tc>
          <w:tcPr>
            <w:tcW w:w="1555" w:type="dxa"/>
          </w:tcPr>
          <w:p w:rsidR="00A2794E" w:rsidRPr="001872ED" w:rsidRDefault="00A2794E" w:rsidP="00805779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</w:pPr>
            <w:r w:rsidRPr="001872ED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Randy Bauslaugh</w:t>
            </w:r>
          </w:p>
        </w:tc>
        <w:tc>
          <w:tcPr>
            <w:tcW w:w="4536" w:type="dxa"/>
          </w:tcPr>
          <w:p w:rsidR="00F75B22" w:rsidRPr="00F75B22" w:rsidRDefault="00F75B22" w:rsidP="00805779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</w:pPr>
            <w:r w:rsidRPr="00F75B22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 xml:space="preserve">Partner, McCarthy Tétrault, Toronto </w:t>
            </w:r>
            <w:r w:rsidR="00860740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GB"/>
              </w:rPr>
              <w:t>– one of the largest law firms in Canada</w:t>
            </w:r>
          </w:p>
          <w:p w:rsidR="00A2794E" w:rsidRDefault="00F75B22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Randy</w:t>
            </w:r>
            <w:r w:rsidRPr="00F75B2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leads McCarthy Tétrault's National Pensions, Benefits &amp; Executive Compensation practice. His clients include public and private companies, appointed administrators of wound-up plans, financial institutions, joint boards of trustees, and Canadian and foreign governments. Mr. Bauslaugh has advised the Government</w:t>
            </w:r>
            <w:r w:rsidR="00860740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s</w:t>
            </w:r>
            <w:r w:rsidRPr="00F75B2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of Ontario, the Northwest Territories and Nunavut on pension policy and legislation and the governments of Bermuda, Jamaica, and India on public pension issues and pension standards. He has experience </w:t>
            </w:r>
            <w:r w:rsidR="00860740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in </w:t>
            </w:r>
            <w:r w:rsidRPr="00F75B2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advising on plan governance, design, mergers, restructurings and conversions, surplus repatriation, and deficit management.  He is presently counsel to the administrator of the Canadian Nortel pension plans, a lead creditor in the world-wide bankruptcy proceedings</w:t>
            </w:r>
            <w:r w:rsidR="00860740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4365" w:type="dxa"/>
          </w:tcPr>
          <w:p w:rsidR="00A2794E" w:rsidRDefault="003F7032" w:rsidP="00805779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Randy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Bauslaugh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er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meðeigandi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á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lögmannsstofunni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McCarthy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Térault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í Toronto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og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hefur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30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ára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reynslu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á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sviði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ráðgjafar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við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stofnun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lífeyrissjóða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stjórnarhætti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þeirra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samruna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endurskipulagningu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stefnumótun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vegna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fjármagnsskipan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og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endurskipulagningu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á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fjármagnsskipan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þeirra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Ráðgjöf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hans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nær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til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lífeyrissjóða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fyrirtækja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stofnana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og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slitastjórna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ásamt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kanadískra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og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alþjóðlegra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stjórnvalda</w:t>
            </w:r>
            <w:proofErr w:type="spellEnd"/>
            <w:r w:rsidRPr="003F7032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.</w:t>
            </w:r>
          </w:p>
        </w:tc>
      </w:tr>
    </w:tbl>
    <w:p w:rsidR="0031075E" w:rsidRPr="004A7341" w:rsidRDefault="0031075E" w:rsidP="00805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:rsidR="00805779" w:rsidRPr="004A7341" w:rsidRDefault="00805779" w:rsidP="00805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:rsidR="00805779" w:rsidRPr="004A7341" w:rsidRDefault="00805779" w:rsidP="00805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:rsidR="00805779" w:rsidRPr="004A7341" w:rsidRDefault="00805779" w:rsidP="00805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:rsidR="00805779" w:rsidRPr="00805779" w:rsidRDefault="00805779" w:rsidP="00805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:rsidR="00F755AD" w:rsidRPr="004A7341" w:rsidRDefault="00F755AD">
      <w:pPr>
        <w:rPr>
          <w:rFonts w:ascii="Arial" w:hAnsi="Arial" w:cs="Arial"/>
          <w:sz w:val="18"/>
          <w:szCs w:val="18"/>
        </w:rPr>
      </w:pPr>
    </w:p>
    <w:sectPr w:rsidR="00F755AD" w:rsidRPr="004A7341" w:rsidSect="00D93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883"/>
    <w:multiLevelType w:val="hybridMultilevel"/>
    <w:tmpl w:val="630C1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D933B8"/>
    <w:multiLevelType w:val="hybridMultilevel"/>
    <w:tmpl w:val="C0283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30BE3"/>
    <w:multiLevelType w:val="hybridMultilevel"/>
    <w:tmpl w:val="89145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882A6B"/>
    <w:multiLevelType w:val="hybridMultilevel"/>
    <w:tmpl w:val="05BC6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805779"/>
    <w:rsid w:val="0001264F"/>
    <w:rsid w:val="00085550"/>
    <w:rsid w:val="000F1508"/>
    <w:rsid w:val="001042E1"/>
    <w:rsid w:val="00185C30"/>
    <w:rsid w:val="001872ED"/>
    <w:rsid w:val="001C1E79"/>
    <w:rsid w:val="001D6F0E"/>
    <w:rsid w:val="00216BC8"/>
    <w:rsid w:val="00292050"/>
    <w:rsid w:val="0031075E"/>
    <w:rsid w:val="00355334"/>
    <w:rsid w:val="00360AB5"/>
    <w:rsid w:val="003F7032"/>
    <w:rsid w:val="004361AE"/>
    <w:rsid w:val="004425BB"/>
    <w:rsid w:val="00453F97"/>
    <w:rsid w:val="00455D82"/>
    <w:rsid w:val="004853D9"/>
    <w:rsid w:val="00491221"/>
    <w:rsid w:val="004A7341"/>
    <w:rsid w:val="004B7165"/>
    <w:rsid w:val="00501217"/>
    <w:rsid w:val="005446ED"/>
    <w:rsid w:val="005947E7"/>
    <w:rsid w:val="00596A6E"/>
    <w:rsid w:val="00603264"/>
    <w:rsid w:val="006C38D6"/>
    <w:rsid w:val="006E18A0"/>
    <w:rsid w:val="007206DF"/>
    <w:rsid w:val="00727EA1"/>
    <w:rsid w:val="007B2622"/>
    <w:rsid w:val="007B6148"/>
    <w:rsid w:val="007C3817"/>
    <w:rsid w:val="00805779"/>
    <w:rsid w:val="00820F7A"/>
    <w:rsid w:val="00860740"/>
    <w:rsid w:val="0087197C"/>
    <w:rsid w:val="009653C2"/>
    <w:rsid w:val="00A074FA"/>
    <w:rsid w:val="00A2794E"/>
    <w:rsid w:val="00A70545"/>
    <w:rsid w:val="00A7442C"/>
    <w:rsid w:val="00A91AE8"/>
    <w:rsid w:val="00AB2D43"/>
    <w:rsid w:val="00AE00FB"/>
    <w:rsid w:val="00B56ED1"/>
    <w:rsid w:val="00BC7BDA"/>
    <w:rsid w:val="00BD3420"/>
    <w:rsid w:val="00C51947"/>
    <w:rsid w:val="00C56EA3"/>
    <w:rsid w:val="00C73B66"/>
    <w:rsid w:val="00C85311"/>
    <w:rsid w:val="00CE027B"/>
    <w:rsid w:val="00D1726E"/>
    <w:rsid w:val="00D2522F"/>
    <w:rsid w:val="00D90320"/>
    <w:rsid w:val="00D93765"/>
    <w:rsid w:val="00DA474D"/>
    <w:rsid w:val="00E47E67"/>
    <w:rsid w:val="00EC73F3"/>
    <w:rsid w:val="00F0196C"/>
    <w:rsid w:val="00F1238D"/>
    <w:rsid w:val="00F27025"/>
    <w:rsid w:val="00F44008"/>
    <w:rsid w:val="00F533FE"/>
    <w:rsid w:val="00F755AD"/>
    <w:rsid w:val="00F75B22"/>
    <w:rsid w:val="00FA2B5B"/>
    <w:rsid w:val="00FE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1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21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779F-07D8-4FAE-A9B1-4E8D97C7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Pamela</dc:creator>
  <cp:lastModifiedBy>user</cp:lastModifiedBy>
  <cp:revision>2</cp:revision>
  <dcterms:created xsi:type="dcterms:W3CDTF">2018-05-30T03:00:00Z</dcterms:created>
  <dcterms:modified xsi:type="dcterms:W3CDTF">2018-05-30T03:00:00Z</dcterms:modified>
</cp:coreProperties>
</file>